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C9644C" w:rsidRPr="00C9644C" w:rsidRDefault="00C9644C" w:rsidP="00C9644C">
      <w:pPr>
        <w:pStyle w:val="a6"/>
        <w:spacing w:before="240" w:after="240" w:line="228" w:lineRule="auto"/>
        <w:rPr>
          <w:rFonts w:ascii="Times New Roman" w:hAnsi="Times New Roman"/>
          <w:b w:val="0"/>
          <w:sz w:val="28"/>
          <w:szCs w:val="28"/>
        </w:rPr>
      </w:pPr>
      <w:r w:rsidRPr="00C9644C">
        <w:rPr>
          <w:rFonts w:ascii="Times New Roman" w:hAnsi="Times New Roman"/>
          <w:b w:val="0"/>
          <w:sz w:val="28"/>
          <w:szCs w:val="28"/>
        </w:rPr>
        <w:t xml:space="preserve">Про внесення змін до Закону України </w:t>
      </w:r>
      <w:r>
        <w:rPr>
          <w:rFonts w:ascii="Times New Roman" w:hAnsi="Times New Roman"/>
          <w:b w:val="0"/>
          <w:sz w:val="28"/>
          <w:szCs w:val="28"/>
        </w:rPr>
        <w:t>“</w:t>
      </w:r>
      <w:r w:rsidRPr="00C9644C">
        <w:rPr>
          <w:rFonts w:ascii="Times New Roman" w:hAnsi="Times New Roman"/>
          <w:b w:val="0"/>
          <w:sz w:val="28"/>
          <w:szCs w:val="28"/>
        </w:rPr>
        <w:t xml:space="preserve">Про статус і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9644C">
        <w:rPr>
          <w:rFonts w:ascii="Times New Roman" w:hAnsi="Times New Roman"/>
          <w:b w:val="0"/>
          <w:sz w:val="28"/>
          <w:szCs w:val="28"/>
        </w:rPr>
        <w:t>соціальний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644C">
        <w:rPr>
          <w:rFonts w:ascii="Times New Roman" w:hAnsi="Times New Roman"/>
          <w:b w:val="0"/>
          <w:sz w:val="28"/>
          <w:szCs w:val="28"/>
        </w:rPr>
        <w:t xml:space="preserve">захист громадян, які постраждали внаслідок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9644C">
        <w:rPr>
          <w:rFonts w:ascii="Times New Roman" w:hAnsi="Times New Roman"/>
          <w:b w:val="0"/>
          <w:sz w:val="28"/>
          <w:szCs w:val="28"/>
        </w:rPr>
        <w:t xml:space="preserve">Чорнобильської катастрофи” щодо підвищення рівня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9644C">
        <w:rPr>
          <w:rFonts w:ascii="Times New Roman" w:hAnsi="Times New Roman"/>
          <w:b w:val="0"/>
          <w:sz w:val="28"/>
          <w:szCs w:val="28"/>
        </w:rPr>
        <w:t>пенсійного забезпечення окремих категорій осіб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</w:t>
      </w:r>
    </w:p>
    <w:p w:rsidR="00C9644C" w:rsidRPr="00C9644C" w:rsidRDefault="00C9644C" w:rsidP="00C9644C">
      <w:pPr>
        <w:pStyle w:val="a3"/>
        <w:spacing w:before="0"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І. Внести до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Про статус і соціальний захист громадян, які постраждали внаслідок Чорнобильської катастрофи” (Відомості Верховної Ради України, 1992 р., № 13, ст. 178 із наступними змінами) такі зміни: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1. Текст статті 53 викласти в такій редакції: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Додаткова пенсія за шкоду, заподіяну здоров’ю, та щомісячна компенсація сім’ям за втрату годувальника внаслідок Чорнобильської катастрофи виплачується повністю незалежно від заробітної плати, пенсії чи іншого доходу.”.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2. Статтю 57 викласти в такій редакції:</w:t>
      </w:r>
    </w:p>
    <w:p w:rsidR="00C9644C" w:rsidRPr="00C9644C" w:rsidRDefault="00C9644C" w:rsidP="00C9644C">
      <w:pPr>
        <w:pStyle w:val="a3"/>
        <w:spacing w:before="360" w:after="2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Стаття 57. Пільги щодо обчислення заробітної плати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Обчислення заробітної плати проводиться відповідно до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Про загальнообов’язкове державне пенсійне страхування”.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У разі обчислення пенсії відповідно до частини другої статті 27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Про загальнообов’язкове державне пенсійне страхування” за бажанням того, хто звернувся за пенсією, заробітна плата для обчислення пенсії може визначатися за будь-які 12 місяців підряд роботи на територіях радіоактивного забруднення.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Якщо особа, яка звернулася за пенсією, пропрацювала на територіях радіоактивного забруднення: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менше 12 місяців, </w:t>
      </w:r>
      <w:r>
        <w:rPr>
          <w:rFonts w:ascii="Times New Roman" w:hAnsi="Times New Roman"/>
          <w:sz w:val="28"/>
          <w:szCs w:val="28"/>
        </w:rPr>
        <w:t>—</w:t>
      </w:r>
      <w:r w:rsidR="00BF1854">
        <w:rPr>
          <w:rFonts w:ascii="Times New Roman" w:hAnsi="Times New Roman"/>
          <w:sz w:val="28"/>
          <w:szCs w:val="28"/>
        </w:rPr>
        <w:t xml:space="preserve"> </w:t>
      </w:r>
      <w:r w:rsidRPr="00C9644C">
        <w:rPr>
          <w:rFonts w:ascii="Times New Roman" w:hAnsi="Times New Roman"/>
          <w:sz w:val="28"/>
          <w:szCs w:val="28"/>
        </w:rPr>
        <w:t>заробітна плата визначається шляхом поділу загальної суми заробітної плати за календарні місяці роботи на кількість цих місяців;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lastRenderedPageBreak/>
        <w:t xml:space="preserve">не менше 30 календарних днів у двох місяцях, </w:t>
      </w:r>
      <w:r>
        <w:rPr>
          <w:rFonts w:ascii="Times New Roman" w:hAnsi="Times New Roman"/>
          <w:sz w:val="28"/>
          <w:szCs w:val="28"/>
        </w:rPr>
        <w:t>—</w:t>
      </w:r>
      <w:r w:rsidR="00BF1854">
        <w:rPr>
          <w:rFonts w:ascii="Times New Roman" w:hAnsi="Times New Roman"/>
          <w:sz w:val="28"/>
          <w:szCs w:val="28"/>
        </w:rPr>
        <w:t xml:space="preserve"> </w:t>
      </w:r>
      <w:r w:rsidRPr="00C9644C">
        <w:rPr>
          <w:rFonts w:ascii="Times New Roman" w:hAnsi="Times New Roman"/>
          <w:sz w:val="28"/>
          <w:szCs w:val="28"/>
        </w:rPr>
        <w:t>заробітна плата визначається за будь-які фактично відпрацьовані 30 календарних днів роботи;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менше місяця, </w:t>
      </w:r>
      <w:r>
        <w:rPr>
          <w:rFonts w:ascii="Times New Roman" w:hAnsi="Times New Roman"/>
          <w:sz w:val="28"/>
          <w:szCs w:val="28"/>
        </w:rPr>
        <w:t>—</w:t>
      </w:r>
      <w:r w:rsidR="00BF1854">
        <w:rPr>
          <w:rFonts w:ascii="Times New Roman" w:hAnsi="Times New Roman"/>
          <w:sz w:val="28"/>
          <w:szCs w:val="28"/>
        </w:rPr>
        <w:t xml:space="preserve"> </w:t>
      </w:r>
      <w:r w:rsidRPr="00C9644C">
        <w:rPr>
          <w:rFonts w:ascii="Times New Roman" w:hAnsi="Times New Roman"/>
          <w:sz w:val="28"/>
          <w:szCs w:val="28"/>
        </w:rPr>
        <w:t>заробітна плата визначається за цей календарний місяць з додаванням до заробітної плати на основній роботі.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Для обчислення пенсії по інвалідності відповідно до цього Закону особам із числа учасників ліквідації наслідків аварії на Чорнобильській АЕС, визначених статтею 10 цього Закону, щодо яких встановлено причинний зв’язок інвалідності з Чорнобильською катастрофою, а також особам, які брали безпосередню участь у ліквідації інших ядерних аварій та їх наслідків, у ядерних випробуваннях, у військових навчаннях із застосуванням ядерної зброї і внаслідок цього стали особами з інвалідністю, і пенсії у зв’язку з втратою годувальника внаслідок Чорнобильської катастрофи за осіб з їх числа за бажанням заявника заробітна плата обчислюється виходячи з п’ятикратного розміру мінімальної заробітної плати, встановленої законом на 1 січня відповідного року.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Порядок обчислення заробітної плати для призначення пенсії по інвалідності, що настала внаслідок каліцтва чи захворювання, і пенсії у зв’язку з втратою годувальника внаслідок Чорнобильської катастрофи, призначеної відповідно до статті 54 цього Закону, визначається Кабінетом Міністрів України.”.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3. Частину третю статті 59 виключити.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4. Статтю 60 викласти в такій редакції:</w:t>
      </w:r>
    </w:p>
    <w:p w:rsidR="00C9644C" w:rsidRPr="00C9644C" w:rsidRDefault="00C9644C" w:rsidP="00C9644C">
      <w:pPr>
        <w:pStyle w:val="a3"/>
        <w:spacing w:before="360" w:after="240" w:line="228" w:lineRule="auto"/>
        <w:ind w:left="1973" w:hanging="140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Стаття 60. Інші пільги та компенсації особам, які постраждали внаслідок Чорнобильської катастрофи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Особам, які постраждали внаслідок Чорнобильської катастрофи, можуть надаватись </w:t>
      </w:r>
      <w:r w:rsidR="00E74509">
        <w:rPr>
          <w:rFonts w:ascii="Times New Roman" w:hAnsi="Times New Roman"/>
          <w:sz w:val="28"/>
          <w:szCs w:val="28"/>
        </w:rPr>
        <w:t>і</w:t>
      </w:r>
      <w:r w:rsidRPr="00C9644C">
        <w:rPr>
          <w:rFonts w:ascii="Times New Roman" w:hAnsi="Times New Roman"/>
          <w:sz w:val="28"/>
          <w:szCs w:val="28"/>
        </w:rPr>
        <w:t xml:space="preserve"> інші пільги та компенсації, передбачені законодавством України.”.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5. Доповнити</w:t>
      </w:r>
      <w:r w:rsidR="00F52504">
        <w:rPr>
          <w:rFonts w:ascii="Times New Roman" w:hAnsi="Times New Roman"/>
          <w:sz w:val="28"/>
          <w:szCs w:val="28"/>
        </w:rPr>
        <w:t xml:space="preserve"> Закон</w:t>
      </w:r>
      <w:r w:rsidRPr="00C9644C">
        <w:rPr>
          <w:rFonts w:ascii="Times New Roman" w:hAnsi="Times New Roman"/>
          <w:sz w:val="28"/>
          <w:szCs w:val="28"/>
        </w:rPr>
        <w:t xml:space="preserve"> статтями 60</w:t>
      </w:r>
      <w:r w:rsidRPr="00C9644C">
        <w:rPr>
          <w:rFonts w:ascii="Times New Roman" w:hAnsi="Times New Roman"/>
          <w:sz w:val="28"/>
          <w:szCs w:val="28"/>
          <w:vertAlign w:val="superscript"/>
        </w:rPr>
        <w:t>1</w:t>
      </w:r>
      <w:r w:rsidR="00F5250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52504" w:rsidRPr="00F52504">
        <w:rPr>
          <w:rFonts w:ascii="Times New Roman" w:hAnsi="Times New Roman"/>
          <w:sz w:val="28"/>
          <w:szCs w:val="28"/>
        </w:rPr>
        <w:t>і</w:t>
      </w:r>
      <w:r w:rsidR="00F5250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9644C">
        <w:rPr>
          <w:rFonts w:ascii="Times New Roman" w:hAnsi="Times New Roman"/>
          <w:sz w:val="28"/>
          <w:szCs w:val="28"/>
        </w:rPr>
        <w:t>60</w:t>
      </w:r>
      <w:r w:rsidRPr="00C9644C">
        <w:rPr>
          <w:rFonts w:ascii="Times New Roman" w:hAnsi="Times New Roman"/>
          <w:sz w:val="28"/>
          <w:szCs w:val="28"/>
          <w:vertAlign w:val="superscript"/>
        </w:rPr>
        <w:t>2</w:t>
      </w:r>
      <w:r w:rsidRPr="00C9644C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C9644C" w:rsidRPr="00C9644C" w:rsidRDefault="00C9644C" w:rsidP="00C9644C">
      <w:pPr>
        <w:pStyle w:val="a3"/>
        <w:spacing w:before="360" w:after="24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Стаття 60</w:t>
      </w:r>
      <w:r w:rsidRPr="00C9644C">
        <w:rPr>
          <w:rFonts w:ascii="Times New Roman" w:hAnsi="Times New Roman"/>
          <w:sz w:val="28"/>
          <w:szCs w:val="28"/>
          <w:vertAlign w:val="superscript"/>
        </w:rPr>
        <w:t>1</w:t>
      </w:r>
      <w:r w:rsidRPr="00C9644C">
        <w:rPr>
          <w:rFonts w:ascii="Times New Roman" w:hAnsi="Times New Roman"/>
          <w:sz w:val="28"/>
          <w:szCs w:val="28"/>
        </w:rPr>
        <w:t>. Органи, які здійснюють пенсійне забезпечення</w:t>
      </w:r>
    </w:p>
    <w:p w:rsid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Призначення та виплата пенсій, передбачених цим Законом, і щомісячної компенсації сім’ям за втрату годувальника внаслідок Чорнобильської катастрофи проводиться територіальними органами Пенсійного фонду України відповідно до  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C9644C">
        <w:rPr>
          <w:rFonts w:ascii="Times New Roman" w:hAnsi="Times New Roman"/>
          <w:sz w:val="28"/>
          <w:szCs w:val="28"/>
        </w:rPr>
        <w:t>Про загальнообов’язкове державне пенсійне страхування”.</w:t>
      </w:r>
    </w:p>
    <w:p w:rsid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C9644C" w:rsidRPr="00C9644C" w:rsidRDefault="00C9644C" w:rsidP="00C9644C">
      <w:pPr>
        <w:pStyle w:val="a3"/>
        <w:spacing w:before="360" w:after="240"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lastRenderedPageBreak/>
        <w:t>Стаття 60</w:t>
      </w:r>
      <w:r w:rsidRPr="00C9644C">
        <w:rPr>
          <w:rFonts w:ascii="Times New Roman" w:hAnsi="Times New Roman"/>
          <w:sz w:val="28"/>
          <w:szCs w:val="28"/>
          <w:vertAlign w:val="superscript"/>
        </w:rPr>
        <w:t>2</w:t>
      </w:r>
      <w:r w:rsidRPr="00C9644C">
        <w:rPr>
          <w:rFonts w:ascii="Times New Roman" w:hAnsi="Times New Roman"/>
          <w:sz w:val="28"/>
          <w:szCs w:val="28"/>
        </w:rPr>
        <w:t>. Закон, що підлягає застосуванню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Призначення пенсій проводиться відповідно до законодавства, чинного на час звернення особи за призначенням пенсії. Перерахунок пенсій проводиться відповідно до законодавства, чинного на час проведення перерахунку пенсії.”.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ІІ. Прикінцеві положення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1. Цей Закон набирає чинності з 1 </w:t>
      </w:r>
      <w:r w:rsidR="0073749E">
        <w:rPr>
          <w:rFonts w:ascii="Times New Roman" w:hAnsi="Times New Roman"/>
          <w:sz w:val="28"/>
          <w:szCs w:val="28"/>
        </w:rPr>
        <w:t>січня</w:t>
      </w:r>
      <w:r w:rsidRPr="00C9644C">
        <w:rPr>
          <w:rFonts w:ascii="Times New Roman" w:hAnsi="Times New Roman"/>
          <w:sz w:val="28"/>
          <w:szCs w:val="28"/>
        </w:rPr>
        <w:t xml:space="preserve"> 202</w:t>
      </w:r>
      <w:r w:rsidR="0073749E">
        <w:rPr>
          <w:rFonts w:ascii="Times New Roman" w:hAnsi="Times New Roman"/>
          <w:sz w:val="28"/>
          <w:szCs w:val="28"/>
        </w:rPr>
        <w:t>2</w:t>
      </w:r>
      <w:r w:rsidRPr="00C9644C">
        <w:rPr>
          <w:rFonts w:ascii="Times New Roman" w:hAnsi="Times New Roman"/>
          <w:sz w:val="28"/>
          <w:szCs w:val="28"/>
        </w:rPr>
        <w:t xml:space="preserve"> року.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2. Кабінету Міністрів України у місячний строк із дня набрання чинності цим Законом: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 xml:space="preserve">привести </w:t>
      </w:r>
      <w:r w:rsidR="00F52504">
        <w:rPr>
          <w:rFonts w:ascii="Times New Roman" w:hAnsi="Times New Roman"/>
          <w:sz w:val="28"/>
          <w:szCs w:val="28"/>
        </w:rPr>
        <w:t>власні</w:t>
      </w:r>
      <w:r w:rsidRPr="00C9644C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із цим Законом;</w:t>
      </w:r>
    </w:p>
    <w:p w:rsidR="00C9644C" w:rsidRPr="00C9644C" w:rsidRDefault="00C9644C" w:rsidP="00C9644C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  <w:r w:rsidRPr="00C9644C"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</w:t>
      </w:r>
      <w:r w:rsidR="00E74509">
        <w:rPr>
          <w:rFonts w:ascii="Times New Roman" w:hAnsi="Times New Roman"/>
          <w:sz w:val="28"/>
          <w:szCs w:val="28"/>
        </w:rPr>
        <w:t xml:space="preserve"> органами виконавчої влади їх</w:t>
      </w:r>
      <w:r w:rsidRPr="00C9644C">
        <w:rPr>
          <w:rFonts w:ascii="Times New Roman" w:hAnsi="Times New Roman"/>
          <w:sz w:val="28"/>
          <w:szCs w:val="28"/>
        </w:rPr>
        <w:t xml:space="preserve"> нормативно-правових актів у відповідність із цим Законом.</w:t>
      </w:r>
    </w:p>
    <w:p w:rsidR="00C9644C" w:rsidRPr="00771066" w:rsidRDefault="00C9644C" w:rsidP="002B53D3">
      <w:pPr>
        <w:pStyle w:val="a3"/>
        <w:rPr>
          <w:rFonts w:ascii="Times New Roman" w:hAnsi="Times New Roman"/>
          <w:sz w:val="28"/>
          <w:szCs w:val="28"/>
        </w:rPr>
      </w:pP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C" w:rsidRDefault="00131ACC">
      <w:r>
        <w:separator/>
      </w:r>
    </w:p>
  </w:endnote>
  <w:endnote w:type="continuationSeparator" w:id="0">
    <w:p w:rsidR="00131ACC" w:rsidRDefault="001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C" w:rsidRDefault="00131ACC">
      <w:r>
        <w:separator/>
      </w:r>
    </w:p>
  </w:footnote>
  <w:footnote w:type="continuationSeparator" w:id="0">
    <w:p w:rsidR="00131ACC" w:rsidRDefault="00131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719F3">
      <w:rPr>
        <w:noProof/>
      </w:rPr>
      <w:t>3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260"/>
    <w:multiLevelType w:val="hybridMultilevel"/>
    <w:tmpl w:val="E7E86734"/>
    <w:lvl w:ilvl="0" w:tplc="FF0AB042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0F292">
      <w:numFmt w:val="bullet"/>
      <w:lvlText w:val="•"/>
      <w:lvlJc w:val="left"/>
      <w:pPr>
        <w:ind w:left="1754" w:hanging="281"/>
      </w:pPr>
      <w:rPr>
        <w:lang w:val="uk-UA" w:eastAsia="en-US" w:bidi="ar-SA"/>
      </w:rPr>
    </w:lvl>
    <w:lvl w:ilvl="2" w:tplc="796CA154">
      <w:numFmt w:val="bullet"/>
      <w:lvlText w:val="•"/>
      <w:lvlJc w:val="left"/>
      <w:pPr>
        <w:ind w:left="2689" w:hanging="281"/>
      </w:pPr>
      <w:rPr>
        <w:lang w:val="uk-UA" w:eastAsia="en-US" w:bidi="ar-SA"/>
      </w:rPr>
    </w:lvl>
    <w:lvl w:ilvl="3" w:tplc="B094C15A">
      <w:numFmt w:val="bullet"/>
      <w:lvlText w:val="•"/>
      <w:lvlJc w:val="left"/>
      <w:pPr>
        <w:ind w:left="3623" w:hanging="281"/>
      </w:pPr>
      <w:rPr>
        <w:lang w:val="uk-UA" w:eastAsia="en-US" w:bidi="ar-SA"/>
      </w:rPr>
    </w:lvl>
    <w:lvl w:ilvl="4" w:tplc="26B08EFC">
      <w:numFmt w:val="bullet"/>
      <w:lvlText w:val="•"/>
      <w:lvlJc w:val="left"/>
      <w:pPr>
        <w:ind w:left="4558" w:hanging="281"/>
      </w:pPr>
      <w:rPr>
        <w:lang w:val="uk-UA" w:eastAsia="en-US" w:bidi="ar-SA"/>
      </w:rPr>
    </w:lvl>
    <w:lvl w:ilvl="5" w:tplc="C952E640">
      <w:numFmt w:val="bullet"/>
      <w:lvlText w:val="•"/>
      <w:lvlJc w:val="left"/>
      <w:pPr>
        <w:ind w:left="5493" w:hanging="281"/>
      </w:pPr>
      <w:rPr>
        <w:lang w:val="uk-UA" w:eastAsia="en-US" w:bidi="ar-SA"/>
      </w:rPr>
    </w:lvl>
    <w:lvl w:ilvl="6" w:tplc="CE702E90">
      <w:numFmt w:val="bullet"/>
      <w:lvlText w:val="•"/>
      <w:lvlJc w:val="left"/>
      <w:pPr>
        <w:ind w:left="6427" w:hanging="281"/>
      </w:pPr>
      <w:rPr>
        <w:lang w:val="uk-UA" w:eastAsia="en-US" w:bidi="ar-SA"/>
      </w:rPr>
    </w:lvl>
    <w:lvl w:ilvl="7" w:tplc="D368D930">
      <w:numFmt w:val="bullet"/>
      <w:lvlText w:val="•"/>
      <w:lvlJc w:val="left"/>
      <w:pPr>
        <w:ind w:left="7362" w:hanging="281"/>
      </w:pPr>
      <w:rPr>
        <w:lang w:val="uk-UA" w:eastAsia="en-US" w:bidi="ar-SA"/>
      </w:rPr>
    </w:lvl>
    <w:lvl w:ilvl="8" w:tplc="BE0A31F4">
      <w:numFmt w:val="bullet"/>
      <w:lvlText w:val="•"/>
      <w:lvlJc w:val="left"/>
      <w:pPr>
        <w:ind w:left="8297" w:hanging="281"/>
      </w:pPr>
      <w:rPr>
        <w:lang w:val="uk-UA" w:eastAsia="en-US" w:bidi="ar-SA"/>
      </w:rPr>
    </w:lvl>
  </w:abstractNum>
  <w:abstractNum w:abstractNumId="1">
    <w:nsid w:val="1A8632FC"/>
    <w:multiLevelType w:val="hybridMultilevel"/>
    <w:tmpl w:val="CCB24B5A"/>
    <w:lvl w:ilvl="0" w:tplc="6CBA7522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800578">
      <w:start w:val="1"/>
      <w:numFmt w:val="decimal"/>
      <w:lvlText w:val="%2."/>
      <w:lvlJc w:val="left"/>
      <w:pPr>
        <w:ind w:left="96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B9C753E">
      <w:start w:val="1"/>
      <w:numFmt w:val="decimal"/>
      <w:lvlText w:val="%3."/>
      <w:lvlJc w:val="left"/>
      <w:pPr>
        <w:ind w:left="124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uk-UA" w:eastAsia="en-US" w:bidi="ar-SA"/>
      </w:rPr>
    </w:lvl>
    <w:lvl w:ilvl="3" w:tplc="49CC7BE2">
      <w:numFmt w:val="bullet"/>
      <w:lvlText w:val="•"/>
      <w:lvlJc w:val="left"/>
      <w:pPr>
        <w:ind w:left="2355" w:hanging="360"/>
      </w:pPr>
      <w:rPr>
        <w:lang w:val="uk-UA" w:eastAsia="en-US" w:bidi="ar-SA"/>
      </w:rPr>
    </w:lvl>
    <w:lvl w:ilvl="4" w:tplc="1526B2FA">
      <w:numFmt w:val="bullet"/>
      <w:lvlText w:val="•"/>
      <w:lvlJc w:val="left"/>
      <w:pPr>
        <w:ind w:left="3471" w:hanging="360"/>
      </w:pPr>
      <w:rPr>
        <w:lang w:val="uk-UA" w:eastAsia="en-US" w:bidi="ar-SA"/>
      </w:rPr>
    </w:lvl>
    <w:lvl w:ilvl="5" w:tplc="8CBCB4BA">
      <w:numFmt w:val="bullet"/>
      <w:lvlText w:val="•"/>
      <w:lvlJc w:val="left"/>
      <w:pPr>
        <w:ind w:left="4587" w:hanging="360"/>
      </w:pPr>
      <w:rPr>
        <w:lang w:val="uk-UA" w:eastAsia="en-US" w:bidi="ar-SA"/>
      </w:rPr>
    </w:lvl>
    <w:lvl w:ilvl="6" w:tplc="C9DA46E2">
      <w:numFmt w:val="bullet"/>
      <w:lvlText w:val="•"/>
      <w:lvlJc w:val="left"/>
      <w:pPr>
        <w:ind w:left="5703" w:hanging="360"/>
      </w:pPr>
      <w:rPr>
        <w:lang w:val="uk-UA" w:eastAsia="en-US" w:bidi="ar-SA"/>
      </w:rPr>
    </w:lvl>
    <w:lvl w:ilvl="7" w:tplc="D2C2017A">
      <w:numFmt w:val="bullet"/>
      <w:lvlText w:val="•"/>
      <w:lvlJc w:val="left"/>
      <w:pPr>
        <w:ind w:left="6819" w:hanging="360"/>
      </w:pPr>
      <w:rPr>
        <w:lang w:val="uk-UA" w:eastAsia="en-US" w:bidi="ar-SA"/>
      </w:rPr>
    </w:lvl>
    <w:lvl w:ilvl="8" w:tplc="0BC87286">
      <w:numFmt w:val="bullet"/>
      <w:lvlText w:val="•"/>
      <w:lvlJc w:val="left"/>
      <w:pPr>
        <w:ind w:left="7934" w:hanging="360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57691"/>
    <w:rsid w:val="000A5F66"/>
    <w:rsid w:val="000C703E"/>
    <w:rsid w:val="00115C92"/>
    <w:rsid w:val="00131ACC"/>
    <w:rsid w:val="00132771"/>
    <w:rsid w:val="00160E04"/>
    <w:rsid w:val="002223C5"/>
    <w:rsid w:val="00222A07"/>
    <w:rsid w:val="002729B5"/>
    <w:rsid w:val="002B53D3"/>
    <w:rsid w:val="002C1844"/>
    <w:rsid w:val="002D5098"/>
    <w:rsid w:val="002F16B8"/>
    <w:rsid w:val="002F1A96"/>
    <w:rsid w:val="00320513"/>
    <w:rsid w:val="0035793A"/>
    <w:rsid w:val="003679EE"/>
    <w:rsid w:val="00395B21"/>
    <w:rsid w:val="003B2E59"/>
    <w:rsid w:val="003F6736"/>
    <w:rsid w:val="00445A63"/>
    <w:rsid w:val="00455CFC"/>
    <w:rsid w:val="004719F3"/>
    <w:rsid w:val="004C4B72"/>
    <w:rsid w:val="004C5489"/>
    <w:rsid w:val="00534231"/>
    <w:rsid w:val="00587CB6"/>
    <w:rsid w:val="005B1744"/>
    <w:rsid w:val="005B65F9"/>
    <w:rsid w:val="005C3CB4"/>
    <w:rsid w:val="006B6134"/>
    <w:rsid w:val="006C6D58"/>
    <w:rsid w:val="0072718E"/>
    <w:rsid w:val="007370F8"/>
    <w:rsid w:val="0073749E"/>
    <w:rsid w:val="00745128"/>
    <w:rsid w:val="00750041"/>
    <w:rsid w:val="00757FFD"/>
    <w:rsid w:val="00764C95"/>
    <w:rsid w:val="00780723"/>
    <w:rsid w:val="007B5FAB"/>
    <w:rsid w:val="007D1318"/>
    <w:rsid w:val="008016F2"/>
    <w:rsid w:val="008D506E"/>
    <w:rsid w:val="008E0FCE"/>
    <w:rsid w:val="008F0356"/>
    <w:rsid w:val="008F4B59"/>
    <w:rsid w:val="00906AB0"/>
    <w:rsid w:val="009546D1"/>
    <w:rsid w:val="009833C7"/>
    <w:rsid w:val="009C2FA5"/>
    <w:rsid w:val="009D0250"/>
    <w:rsid w:val="00A220C0"/>
    <w:rsid w:val="00A455BA"/>
    <w:rsid w:val="00AD6988"/>
    <w:rsid w:val="00AD716D"/>
    <w:rsid w:val="00B76F4B"/>
    <w:rsid w:val="00BB56AD"/>
    <w:rsid w:val="00BB6C20"/>
    <w:rsid w:val="00BD0CAC"/>
    <w:rsid w:val="00BF1854"/>
    <w:rsid w:val="00C02409"/>
    <w:rsid w:val="00C03CD1"/>
    <w:rsid w:val="00C22675"/>
    <w:rsid w:val="00C3481E"/>
    <w:rsid w:val="00C362EA"/>
    <w:rsid w:val="00C9644C"/>
    <w:rsid w:val="00CB44E4"/>
    <w:rsid w:val="00CD3FDA"/>
    <w:rsid w:val="00D4191B"/>
    <w:rsid w:val="00DE4727"/>
    <w:rsid w:val="00E12E56"/>
    <w:rsid w:val="00E74509"/>
    <w:rsid w:val="00F24E97"/>
    <w:rsid w:val="00F31E5A"/>
    <w:rsid w:val="00F37B32"/>
    <w:rsid w:val="00F44363"/>
    <w:rsid w:val="00F52504"/>
    <w:rsid w:val="00FF21DC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2020-12-29T07:45:00Z</dcterms:created>
  <dcterms:modified xsi:type="dcterms:W3CDTF">2020-12-29T07:45:00Z</dcterms:modified>
</cp:coreProperties>
</file>